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公文小标宋简" w:eastAsia="公文小标宋简"/>
          <w:sz w:val="44"/>
          <w:szCs w:val="44"/>
        </w:rPr>
      </w:pPr>
      <w:bookmarkStart w:id="0" w:name="_GoBack"/>
      <w:r>
        <w:rPr>
          <w:rFonts w:hint="eastAsia" w:ascii="公文小标宋简" w:eastAsia="公文小标宋简"/>
          <w:sz w:val="44"/>
          <w:szCs w:val="44"/>
        </w:rPr>
        <w:t>武汉轻工大学2018年面向社会专项公开招聘专任教师岗位一览表</w:t>
      </w:r>
    </w:p>
    <w:bookmarkEnd w:id="0"/>
    <w:p>
      <w:pPr>
        <w:spacing w:line="200" w:lineRule="exact"/>
        <w:jc w:val="center"/>
        <w:rPr>
          <w:rFonts w:hint="eastAsia" w:ascii="公文小标宋简" w:eastAsia="公文小标宋简"/>
          <w:sz w:val="44"/>
          <w:szCs w:val="44"/>
        </w:rPr>
      </w:pPr>
    </w:p>
    <w:tbl>
      <w:tblPr>
        <w:tblStyle w:val="5"/>
        <w:tblW w:w="143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80"/>
        <w:gridCol w:w="860"/>
        <w:gridCol w:w="640"/>
        <w:gridCol w:w="460"/>
        <w:gridCol w:w="460"/>
        <w:gridCol w:w="760"/>
        <w:gridCol w:w="3020"/>
        <w:gridCol w:w="1840"/>
        <w:gridCol w:w="740"/>
        <w:gridCol w:w="680"/>
        <w:gridCol w:w="1540"/>
        <w:gridCol w:w="560"/>
        <w:gridCol w:w="580"/>
        <w:gridCol w:w="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招聘岗位及人数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报考资格条件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笔试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面试入围比例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工勤岗位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岗位所需学科专业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食品工程类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化工与制药类，化学类，药学类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食品工程类，医学技术类，公共卫生与预防医学类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食品工程类，生物工程类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化学类，食品工程类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食品工程类，化工与制药类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植物生产类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生工学院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食品工程类，生物科学类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生工学院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生物科学类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生工学院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药学类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生工学院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中药学类，生物科学类，植物生产类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生工学院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生物科学类，生物医学工程类，食品工程类，植物生产类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化学类，环境科学与工程类，农业工程类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化学类，材料类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化学类，材料类，机械类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17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化环学院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化学类，材料类，生物医学工程类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机械学院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机械类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19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动科学院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动物生产类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动科学院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水产类，生物科学类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动科学院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药学类，动物医学类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动科学院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农业工程类、机械类、食品工程类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电气学院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电气类、电子信息类、管理科学与工程类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数计学院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spacing w:val="-6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计算机类，数学统计学类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土建学院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土木类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管理科学与工程类，财务会计类，工商管理类，财政学类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财务会计类，财政学类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旅游管理类，地理科学类，工商管理类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农业经济管理类，工商管理类，经济学类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工商管理类，管理类，经济学类，社会学类，公共管理类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管理科学与工程类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32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经管学院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经济学类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艺传学院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设计学类，新闻传播学类，管理科学与工程类，民族学类，历史学类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艺传学院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设计学类，机械类，管理科学与工程类，电子信息类，艺术学理论类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艺传学院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建筑类，土木类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艺传学院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公共管理类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艺传学院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新闻传播学类，民族学类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外语学院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外国语言文学类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外语学院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外国语言文学类，历史学类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医护学院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临床医学类，医学技术类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41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医护学院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护理学类，公共卫生与预防医学类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42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马克思学院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哲学类，经济学类，政治学类，社会学类，马克思主义理论类，心理学类，历史学类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中共党员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43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马克思学院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马克思学院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马克思学院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体育课部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教师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体育学类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仿宋_GB2312"/>
                <w:sz w:val="20"/>
              </w:rPr>
              <w:t>47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武汉轻工大学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上述院（部）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博士教授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从事教学和科研工作；参与教学研究与改革、专业建设、课程建设、教材建设、实验室建设等工作；承担研究生指导工作；负责或参与重点学科建设、学位点建设和重点实验室建设。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上述学科（专业）范围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博士研究生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45周岁及以下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具有教授或相当职称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直接入面试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备注：1.具有海外博士学位、海外研修经历、副高及以上职称或相关专业科研院所、高校、企业工作等经历的博士可放宽到45周岁；具有海外博士学位、海外研修经历或相关专业科研院所、高校、企业工作等经历的博士教授可放宽到50周岁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2.若遇特别优秀，且突破上述条件的人才，可经过专家评议组论证的程序，按照“一人一议”政策引进。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7F78"/>
    <w:rsid w:val="5EF77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4">
    <w:name w:val="page number"/>
    <w:basedOn w:val="3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2018-04-19T10:01:00Z</dcterms:created>
  <dc:creator>pc</dc:creator>
  <cp:lastModifiedBy>pc</cp:lastModifiedBy>
  <dcterms:modified xsi:type="dcterms:W3CDTF">2018-04-19T10:33:02Z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