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5"/>
        <w:gridCol w:w="495"/>
        <w:gridCol w:w="390"/>
        <w:gridCol w:w="1275"/>
        <w:gridCol w:w="2355"/>
        <w:gridCol w:w="2880"/>
      </w:tblGrid>
      <w:tr w:rsidR="00713640" w:rsidRPr="00713640" w:rsidTr="00713640">
        <w:trPr>
          <w:tblHeader/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条件要求（学历、学位及职称）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备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注</w:t>
            </w: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戏剧与影视学及相关专业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全日制普通高校博士，相关专业指：影视摄影与制作、电影学、新闻传播学、网络与新媒体</w:t>
            </w:r>
          </w:p>
        </w:tc>
        <w:tc>
          <w:tcPr>
            <w:tcW w:w="2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应聘教师岗位的报名时间、地点等应聘办法见学校的相关公告和通知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(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武夷学院网址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http://www.wuyiu.edu.cn)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。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应聘教师岗位的报名时间、地点等应聘办法见学校的相关公告和通知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(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武夷学院网址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http://www.wuyiu.edu.cn)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。</w:t>
            </w: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学前教育及相关专业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全日制普通高校博士，相关专业指：教育学、心理学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美术学及相关专业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全日制普通高校博士，相关专业指：艺术史论、雕塑、绘画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艺术设计学及相关专业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全日制普通高校博士，相关专业指：艺术学理论、设计学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经济学大类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物流管理及相关专业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全日制普通高校博士，相关专业指：物流工程、管理科学与工程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保险学及相关专业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全日制普通高校博士，相关专业指：金融学与保险学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结构工程及相关专业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全日制普通高校博士，本硕博专业基本一致，相关专业指：桥梁与隧道工程、岩土工程、防灾减灾与防护工程、港口、海岸及近海工程、水工结构工程、道路与铁道工程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工程造价及相关专业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全日制普通高校博士，本科为工程造价（管理）、土木工程专业，相关专业指：土木工程、管理科学与工程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城市规划与设计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(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含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: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风景园林规划与设计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全日制普通高校博士，本硕博专业基本一致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1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管理科学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与工程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全日制普通高校博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士，本硕博专业基本一致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建筑设计及其理论及相关专业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全日制普通高校博士，本硕博专业基本一致，相关专业指：建筑历史与理论、建筑技术科学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电子与通信工程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电气工程及其相关专业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全日制普通高校博士，相关专业指：电力系统及其自动化、电力电子技术、工业电气化、控制工程、农业电气化与自动化、电机与电器、高电压与绝缘技术、电力电子与电力传动、电工理论与新技术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物理学及其相关专业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全日制普通高校博士，相关专业指：应用物理学、声学、理论物理、粒子物理与原子核物理、原子与分子物理、等离子体物理、凝聚态物理、光学、无线电物理、物理教育、物理电子学、光学工程、核技术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电子信息工程及其相关专业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全日制普通高校博士，相关专业指：电子科学与技术、电气工程及其自动化、控制工程、电磁场与微波技术、电路与系统、电工理论与新技术、物理电子学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机械工程及相关专业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全日制普通高校博士，相关专业指：机械设计制造及其自动化、机械电子工程、材料成型及控制工程、机械设计及理论、机械制造及其自动化、车辆工程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1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类及统计学类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通信与信息系统及相关专业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全日制普通高校博士，相关专业指：信号与信息处理、电子与通信工程、电磁场与微波技术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计算机应用技术及相关专业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全日制普通高校博士，相关专业指：计算机系统结构、复杂系统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管理学及相关专业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全日制普通高校博士，相关专业指：管理科学与工程、工商管理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旅游管理及相关专业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全日制普通高校博士，相关专业指：酒店管理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临床医学及相关专业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全日制普通高校博士，相关专业指：康复医学、康复医学与理疗学、康复治疗学、中西医结合基础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文化产业管理相关专业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全日制普通高校博士，相关专业指：文化人类学、表演艺术、民俗学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人类学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体育学类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环境工程及相关专业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全日制普通高校博士，相关专业指：环境科学、环境工程技术、环境科学与工程、环境监测与治理技术、环境监测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化学工程及相关专业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全日制普通高校博士，相关专业指：化学工艺、化工过程机械、安全工程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高分子材料与工程及其相关专业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全日制普通高校博士，相关专业指：材料物理与化学，材料学，材料加工工程，高分子化学与物理、应用化学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食品科学与工程类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茶学及相关专业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全日制普通高校博士，相关专业指：园艺，果树学，蔬菜学，花卉与景观园艺，森林培养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农业资源与环境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作物栽培学与耕作学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政治学类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宪法学与行政法学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全日制普通高校博士，面向西藏籍高校毕业生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13640" w:rsidRPr="00713640" w:rsidTr="00713640">
        <w:trPr>
          <w:jc w:val="center"/>
        </w:trPr>
        <w:tc>
          <w:tcPr>
            <w:tcW w:w="9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合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13640" w:rsidRPr="00713640" w:rsidRDefault="00713640" w:rsidP="00713640">
            <w:pPr>
              <w:widowControl/>
              <w:ind w:firstLine="4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13640">
              <w:rPr>
                <w:rFonts w:ascii="Tahoma" w:eastAsia="宋体" w:hAnsi="Tahoma" w:cs="Tahoma"/>
                <w:color w:val="000000"/>
                <w:kern w:val="0"/>
                <w:szCs w:val="21"/>
              </w:rPr>
              <w:t>——</w:t>
            </w:r>
          </w:p>
        </w:tc>
      </w:tr>
    </w:tbl>
    <w:p w:rsidR="00713640" w:rsidRPr="00713640" w:rsidRDefault="00713640" w:rsidP="00713640">
      <w:pPr>
        <w:widowControl/>
        <w:shd w:val="clear" w:color="auto" w:fill="FFFFFF"/>
        <w:spacing w:line="27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713640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713640" w:rsidRPr="00713640" w:rsidRDefault="00713640" w:rsidP="00713640">
      <w:pPr>
        <w:widowControl/>
        <w:shd w:val="clear" w:color="auto" w:fill="FFFFFF"/>
        <w:spacing w:line="27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713640">
        <w:rPr>
          <w:rFonts w:ascii="Tahoma" w:eastAsia="宋体" w:hAnsi="Tahoma" w:cs="Tahoma"/>
          <w:color w:val="000000"/>
          <w:kern w:val="0"/>
          <w:szCs w:val="21"/>
        </w:rPr>
        <w:t xml:space="preserve">　　人事处人才招聘电子信箱：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wyxyrczp@wuyiu.edu.cn;wyxyrsc@163.com</w:t>
      </w:r>
    </w:p>
    <w:p w:rsidR="00713640" w:rsidRPr="00713640" w:rsidRDefault="00713640" w:rsidP="00713640">
      <w:pPr>
        <w:widowControl/>
        <w:shd w:val="clear" w:color="auto" w:fill="FFFFFF"/>
        <w:spacing w:line="27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713640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713640" w:rsidRPr="00713640" w:rsidRDefault="00713640" w:rsidP="00713640">
      <w:pPr>
        <w:widowControl/>
        <w:shd w:val="clear" w:color="auto" w:fill="FFFFFF"/>
        <w:spacing w:line="27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713640">
        <w:rPr>
          <w:rFonts w:ascii="Tahoma" w:eastAsia="宋体" w:hAnsi="Tahoma" w:cs="Tahoma"/>
          <w:color w:val="000000"/>
          <w:kern w:val="0"/>
          <w:szCs w:val="21"/>
        </w:rPr>
        <w:t xml:space="preserve">　　注：除应聘岗位有特殊要求外，应聘者为博士的应不超过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45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周岁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(1972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年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6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月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21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日以后出生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)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，应聘者为正高职称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(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一般应具有博士学位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)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的应不超过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50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周岁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(1967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年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6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月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21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日以后出生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)</w:t>
      </w:r>
      <w:r w:rsidRPr="00713640">
        <w:rPr>
          <w:rFonts w:ascii="Tahoma" w:eastAsia="宋体" w:hAnsi="Tahoma" w:cs="Tahoma"/>
          <w:color w:val="000000"/>
          <w:kern w:val="0"/>
          <w:szCs w:val="21"/>
        </w:rPr>
        <w:t>。</w:t>
      </w:r>
    </w:p>
    <w:p w:rsidR="00D8033C" w:rsidRPr="00713640" w:rsidRDefault="00713640">
      <w:pPr>
        <w:rPr>
          <w:rFonts w:hint="eastAsia"/>
        </w:rPr>
      </w:pPr>
      <w:bookmarkStart w:id="0" w:name="_GoBack"/>
      <w:bookmarkEnd w:id="0"/>
    </w:p>
    <w:sectPr w:rsidR="00D8033C" w:rsidRPr="0071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54"/>
    <w:rsid w:val="00297725"/>
    <w:rsid w:val="005312EE"/>
    <w:rsid w:val="00627354"/>
    <w:rsid w:val="0071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A5EE2-0CE5-4AAC-92F1-A9B0C888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2018-06-25T02:15:00Z</dcterms:created>
  <dcterms:modified xsi:type="dcterms:W3CDTF">2018-06-25T02:16:00Z</dcterms:modified>
</cp:coreProperties>
</file>