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110"/>
        <w:gridCol w:w="930"/>
        <w:gridCol w:w="1620"/>
        <w:gridCol w:w="162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专业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18001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临床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护理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护理学类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大专及以上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1、2016、2017、2018届全日制普通高等院校毕业生；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2、2016、2017届毕业生须取得护士执业证书；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5"/>
                <w:szCs w:val="25"/>
                <w:bdr w:val="none" w:color="auto" w:sz="0" w:space="0"/>
              </w:rPr>
              <w:t>3、具有三级医院护理实习或护理工作经历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4FC0"/>
    <w:rsid w:val="29454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2018-08-24T02:40:00Z</dcterms:created>
  <dc:creator>天空</dc:creator>
  <cp:lastModifiedBy>天空</cp:lastModifiedBy>
  <dcterms:modified xsi:type="dcterms:W3CDTF">2018-08-24T02:40:43Z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