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DFF"/>
        <w:spacing w:before="188" w:beforeAutospacing="0" w:after="351" w:afterAutospacing="0"/>
        <w:ind w:left="0" w:right="0" w:firstLine="0"/>
        <w:rPr>
          <w:rFonts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AFD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DFF"/>
        <w:spacing w:before="188" w:beforeAutospacing="0" w:after="351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AFDFF"/>
        </w:rPr>
        <w:drawing>
          <wp:inline distT="0" distB="0" distL="114300" distR="114300">
            <wp:extent cx="5105400" cy="6191250"/>
            <wp:effectExtent l="0" t="0" r="6350" b="0"/>
            <wp:docPr id="1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DFF"/>
        <w:spacing w:before="188" w:beforeAutospacing="0" w:after="351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AFDFF"/>
        </w:rPr>
        <w:t> 硕士研究生第一学历可为专科，专科本科硕士所学专业相符或相近，具备规培证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B25A1"/>
    <w:rsid w:val="593B2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2019-02-26T01:46:00Z</dcterms:created>
  <dc:creator>ASUS</dc:creator>
  <cp:lastModifiedBy>ASUS</cp:lastModifiedBy>
  <dcterms:modified xsi:type="dcterms:W3CDTF">2019-02-26T01:47:29Z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